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7D" w:rsidRDefault="00A57A17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910CE3">
        <w:rPr>
          <w:lang w:val=""/>
        </w:rPr>
        <w:t xml:space="preserve">ARCS WIFO </w:t>
      </w:r>
      <w:r w:rsidR="00AA44C1">
        <w:rPr>
          <w:lang w:val=""/>
        </w:rPr>
        <w:t xml:space="preserve">Specifiche per </w:t>
      </w:r>
      <w:r w:rsidR="00910CE3">
        <w:rPr>
          <w:lang w:val=""/>
        </w:rPr>
        <w:t>Architet</w:t>
      </w:r>
      <w:r w:rsidR="00AA44C1">
        <w:rPr>
          <w:lang w:val=""/>
        </w:rPr>
        <w:t>ti ed Ingegneri</w:t>
      </w:r>
      <w:r>
        <w:fldChar w:fldCharType="end"/>
      </w:r>
    </w:p>
    <w:p w:rsidR="00CD677D" w:rsidRPr="00835300" w:rsidRDefault="00A57A17">
      <w:pPr>
        <w:pStyle w:val="Titolo1"/>
        <w:rPr>
          <w:lang w:val="it-IT"/>
        </w:rPr>
      </w:pPr>
      <w:bookmarkStart w:id="0" w:name="_Refd17e183"/>
      <w:bookmarkStart w:id="1" w:name="_Toc478552454"/>
      <w:r w:rsidRPr="00835300">
        <w:rPr>
          <w:lang w:val="it-IT"/>
        </w:rPr>
        <w:t>ARCS Wide</w:t>
      </w:r>
      <w:bookmarkEnd w:id="0"/>
      <w:bookmarkEnd w:id="1"/>
    </w:p>
    <w:p w:rsidR="00CD677D" w:rsidRPr="00AA44C1" w:rsidRDefault="00AA44C1">
      <w:pPr>
        <w:rPr>
          <w:lang w:val="it-IT"/>
        </w:rPr>
      </w:pPr>
      <w:r w:rsidRPr="00AA44C1">
        <w:rPr>
          <w:lang w:val="it-IT"/>
        </w:rPr>
        <w:t xml:space="preserve">Il sistema consisterà in un diffusore passivo a </w:t>
      </w:r>
      <w:r w:rsidR="00A57A17" w:rsidRPr="00AA44C1">
        <w:rPr>
          <w:lang w:val="it-IT"/>
        </w:rPr>
        <w:t>2-</w:t>
      </w:r>
      <w:r w:rsidRPr="00AA44C1">
        <w:rPr>
          <w:lang w:val="it-IT"/>
        </w:rPr>
        <w:t>vie</w:t>
      </w:r>
      <w:r w:rsidR="00A57A17" w:rsidRPr="00AA44C1">
        <w:rPr>
          <w:lang w:val="it-IT"/>
        </w:rPr>
        <w:t xml:space="preserve"> </w:t>
      </w:r>
      <w:r w:rsidRPr="00AA44C1">
        <w:rPr>
          <w:lang w:val="it-IT"/>
        </w:rPr>
        <w:t xml:space="preserve">che utilizza la </w:t>
      </w:r>
      <w:proofErr w:type="spellStart"/>
      <w:r w:rsidR="00A57A17" w:rsidRPr="00AA44C1">
        <w:rPr>
          <w:lang w:val="it-IT"/>
        </w:rPr>
        <w:t>Wavefront</w:t>
      </w:r>
      <w:proofErr w:type="spellEnd"/>
      <w:r w:rsidR="00A57A17" w:rsidRPr="00AA44C1">
        <w:rPr>
          <w:lang w:val="it-IT"/>
        </w:rPr>
        <w:t xml:space="preserve"> </w:t>
      </w:r>
      <w:proofErr w:type="spellStart"/>
      <w:r w:rsidR="00A57A17" w:rsidRPr="00AA44C1">
        <w:rPr>
          <w:lang w:val="it-IT"/>
        </w:rPr>
        <w:t>Sculpture</w:t>
      </w:r>
      <w:proofErr w:type="spellEnd"/>
      <w:r w:rsidR="00A57A17" w:rsidRPr="00AA44C1">
        <w:rPr>
          <w:lang w:val="it-IT"/>
        </w:rPr>
        <w:t xml:space="preserve"> Technology (WST)</w:t>
      </w:r>
      <w:r w:rsidRPr="00AA44C1">
        <w:rPr>
          <w:lang w:val="it-IT"/>
        </w:rPr>
        <w:t xml:space="preserve"> a curvatur</w:t>
      </w:r>
      <w:r w:rsidR="00835300">
        <w:rPr>
          <w:lang w:val="it-IT"/>
        </w:rPr>
        <w:t>a</w:t>
      </w:r>
      <w:r w:rsidRPr="00AA44C1">
        <w:rPr>
          <w:lang w:val="it-IT"/>
        </w:rPr>
        <w:t xml:space="preserve"> costante</w:t>
      </w:r>
      <w:r w:rsidR="00A57A17" w:rsidRPr="00AA44C1">
        <w:rPr>
          <w:lang w:val="it-IT"/>
        </w:rPr>
        <w:t xml:space="preserve">, </w:t>
      </w:r>
      <w:r w:rsidRPr="00AA44C1">
        <w:rPr>
          <w:lang w:val="it-IT"/>
        </w:rPr>
        <w:t>e s</w:t>
      </w:r>
      <w:r w:rsidR="0075516E">
        <w:rPr>
          <w:lang w:val="it-IT"/>
        </w:rPr>
        <w:t>a</w:t>
      </w:r>
      <w:r w:rsidRPr="00AA44C1">
        <w:rPr>
          <w:lang w:val="it-IT"/>
        </w:rPr>
        <w:t xml:space="preserve">rà esclusivamente pilotato e protetto da un controller amplificato tramite un </w:t>
      </w:r>
      <w:proofErr w:type="spellStart"/>
      <w:r w:rsidRPr="00AA44C1">
        <w:rPr>
          <w:lang w:val="it-IT"/>
        </w:rPr>
        <w:t>preset</w:t>
      </w:r>
      <w:proofErr w:type="spellEnd"/>
      <w:r w:rsidRPr="00AA44C1">
        <w:rPr>
          <w:lang w:val="it-IT"/>
        </w:rPr>
        <w:t xml:space="preserve"> dedicato. </w:t>
      </w:r>
      <w:r w:rsidR="00A57A17" w:rsidRPr="00AA44C1">
        <w:rPr>
          <w:lang w:val="it-IT"/>
        </w:rPr>
        <w:t xml:space="preserve"> </w:t>
      </w:r>
    </w:p>
    <w:p w:rsidR="00CD677D" w:rsidRPr="00331ABB" w:rsidRDefault="00AA44C1">
      <w:pPr>
        <w:rPr>
          <w:lang w:val="it-IT"/>
        </w:rPr>
      </w:pPr>
      <w:r w:rsidRPr="00AA44C1">
        <w:rPr>
          <w:lang w:val="it-IT"/>
        </w:rPr>
        <w:t xml:space="preserve">Il diffusore sarà </w:t>
      </w:r>
      <w:proofErr w:type="spellStart"/>
      <w:r w:rsidR="00A57A17" w:rsidRPr="00AA44C1">
        <w:rPr>
          <w:lang w:val="it-IT"/>
        </w:rPr>
        <w:t>bass</w:t>
      </w:r>
      <w:proofErr w:type="spellEnd"/>
      <w:r w:rsidR="00A57A17" w:rsidRPr="00AA44C1">
        <w:rPr>
          <w:lang w:val="it-IT"/>
        </w:rPr>
        <w:t xml:space="preserve"> reflex </w:t>
      </w:r>
      <w:r w:rsidRPr="00AA44C1">
        <w:rPr>
          <w:lang w:val="it-IT"/>
        </w:rPr>
        <w:t>accordato</w:t>
      </w:r>
      <w:r w:rsidR="00A57A17" w:rsidRPr="00AA44C1">
        <w:rPr>
          <w:lang w:val="it-IT"/>
        </w:rPr>
        <w:t xml:space="preserve">, </w:t>
      </w:r>
      <w:r w:rsidRPr="00AA44C1">
        <w:rPr>
          <w:lang w:val="it-IT"/>
        </w:rPr>
        <w:t>con un trasduttore a bassa frequenza resistente alle intemperie da 12” e un driver di co</w:t>
      </w:r>
      <w:r w:rsidR="0075516E">
        <w:rPr>
          <w:lang w:val="it-IT"/>
        </w:rPr>
        <w:t>m</w:t>
      </w:r>
      <w:r w:rsidRPr="00AA44C1">
        <w:rPr>
          <w:lang w:val="it-IT"/>
        </w:rPr>
        <w:t>pressione con diaframma da 3” accoppiato ad una guida d’onda DOSC per la sezione delle alte frequenza.</w:t>
      </w:r>
      <w:r w:rsidR="00A57A17" w:rsidRPr="00AA44C1">
        <w:rPr>
          <w:lang w:val="it-IT"/>
        </w:rPr>
        <w:t xml:space="preserve"> </w:t>
      </w:r>
      <w:r w:rsidRPr="00331ABB">
        <w:rPr>
          <w:lang w:val="it-IT"/>
        </w:rPr>
        <w:t xml:space="preserve">Le sezioni </w:t>
      </w:r>
      <w:r w:rsidR="00A57A17" w:rsidRPr="00331ABB">
        <w:rPr>
          <w:lang w:val="it-IT"/>
        </w:rPr>
        <w:t xml:space="preserve">LF </w:t>
      </w:r>
      <w:r w:rsidRPr="00331ABB">
        <w:rPr>
          <w:lang w:val="it-IT"/>
        </w:rPr>
        <w:t>ed</w:t>
      </w:r>
      <w:r w:rsidR="00A57A17" w:rsidRPr="00331ABB">
        <w:rPr>
          <w:lang w:val="it-IT"/>
        </w:rPr>
        <w:t xml:space="preserve"> HF </w:t>
      </w:r>
      <w:r w:rsidRPr="00331ABB">
        <w:rPr>
          <w:lang w:val="it-IT"/>
        </w:rPr>
        <w:t xml:space="preserve">saranno dichiarate ad una impedenza </w:t>
      </w:r>
      <w:r w:rsidR="0075516E">
        <w:rPr>
          <w:lang w:val="it-IT"/>
        </w:rPr>
        <w:t>n</w:t>
      </w:r>
      <w:r w:rsidRPr="00331ABB">
        <w:rPr>
          <w:lang w:val="it-IT"/>
        </w:rPr>
        <w:t xml:space="preserve">ominale di </w:t>
      </w:r>
      <w:r w:rsidR="00A57A17" w:rsidRPr="00331ABB">
        <w:rPr>
          <w:lang w:val="it-IT"/>
        </w:rPr>
        <w:t>8 ohm.</w:t>
      </w:r>
    </w:p>
    <w:p w:rsidR="00CD677D" w:rsidRPr="00331ABB" w:rsidRDefault="00331ABB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="00A57A17" w:rsidRPr="00331ABB">
        <w:rPr>
          <w:lang w:val="it-IT"/>
        </w:rPr>
        <w:t xml:space="preserve">55 Hz </w:t>
      </w:r>
      <w:r w:rsidRPr="00331ABB">
        <w:rPr>
          <w:lang w:val="it-IT"/>
        </w:rPr>
        <w:t>a</w:t>
      </w:r>
      <w:r w:rsidR="00A57A17" w:rsidRPr="00331ABB">
        <w:rPr>
          <w:lang w:val="it-IT"/>
        </w:rPr>
        <w:t xml:space="preserve"> 20 kHz (-10 dB). </w:t>
      </w:r>
      <w:r w:rsidRPr="00331ABB">
        <w:rPr>
          <w:lang w:val="it-IT"/>
        </w:rPr>
        <w:t xml:space="preserve">Quando in funzione con il subwoofer montabile in array, la larghezza di banda utilizzabile scenderà a </w:t>
      </w:r>
      <w:r w:rsidR="00A57A17" w:rsidRPr="00331ABB">
        <w:rPr>
          <w:lang w:val="it-IT"/>
        </w:rPr>
        <w:t xml:space="preserve">32 Hz. </w:t>
      </w:r>
      <w:r>
        <w:rPr>
          <w:lang w:val="it-IT"/>
        </w:rPr>
        <w:t xml:space="preserve">Il sistema genererà una direttività orizzontale simmetrica di </w:t>
      </w:r>
      <w:r w:rsidR="00A57A17" w:rsidRPr="00331ABB">
        <w:rPr>
          <w:lang w:val="it-IT"/>
        </w:rPr>
        <w:t xml:space="preserve">30° </w:t>
      </w:r>
      <w:r w:rsidRPr="00331ABB">
        <w:rPr>
          <w:lang w:val="it-IT"/>
        </w:rPr>
        <w:t>ed un</w:t>
      </w:r>
      <w:r>
        <w:rPr>
          <w:lang w:val="it-IT"/>
        </w:rPr>
        <w:t xml:space="preserve"> angolo di</w:t>
      </w:r>
      <w:r w:rsidRPr="00331ABB">
        <w:rPr>
          <w:lang w:val="it-IT"/>
        </w:rPr>
        <w:t xml:space="preserve"> copertura vertical</w:t>
      </w:r>
      <w:r>
        <w:rPr>
          <w:lang w:val="it-IT"/>
        </w:rPr>
        <w:t>e</w:t>
      </w:r>
      <w:r w:rsidRPr="00331ABB">
        <w:rPr>
          <w:lang w:val="it-IT"/>
        </w:rPr>
        <w:t xml:space="preserve"> </w:t>
      </w:r>
      <w:r>
        <w:rPr>
          <w:lang w:val="it-IT"/>
        </w:rPr>
        <w:t xml:space="preserve">simmetrico di </w:t>
      </w:r>
      <w:r w:rsidR="00A57A17" w:rsidRPr="00331ABB">
        <w:rPr>
          <w:lang w:val="it-IT"/>
        </w:rPr>
        <w:t xml:space="preserve">90° (-6 dB). </w:t>
      </w:r>
      <w:r>
        <w:rPr>
          <w:lang w:val="it-IT"/>
        </w:rPr>
        <w:t xml:space="preserve">Assemblando i diffusori si otterrà un line source con un fronte d’onda a curvatura costante e sarà ottenuto il rispetto dei criteri </w:t>
      </w:r>
      <w:r w:rsidR="00A57A17" w:rsidRPr="00331ABB">
        <w:rPr>
          <w:lang w:val="it-IT"/>
        </w:rPr>
        <w:t xml:space="preserve">WST. </w:t>
      </w:r>
      <w:r w:rsidRPr="00331ABB">
        <w:rPr>
          <w:lang w:val="it-IT"/>
        </w:rPr>
        <w:t xml:space="preserve">La direttività orizzontale sarà allora uguale a </w:t>
      </w:r>
      <w:r w:rsidR="00A57A17" w:rsidRPr="00331ABB">
        <w:rPr>
          <w:lang w:val="it-IT"/>
        </w:rPr>
        <w:t>N x 30° (</w:t>
      </w:r>
      <w:r w:rsidRPr="00331ABB">
        <w:rPr>
          <w:lang w:val="it-IT"/>
        </w:rPr>
        <w:t>dove</w:t>
      </w:r>
      <w:r w:rsidR="00A57A17" w:rsidRPr="00331ABB">
        <w:rPr>
          <w:lang w:val="it-IT"/>
        </w:rPr>
        <w:t xml:space="preserve"> N </w:t>
      </w:r>
      <w:r w:rsidRPr="00331ABB">
        <w:rPr>
          <w:lang w:val="it-IT"/>
        </w:rPr>
        <w:t>è il numero dei diffusori nell’a</w:t>
      </w:r>
      <w:r>
        <w:rPr>
          <w:lang w:val="it-IT"/>
        </w:rPr>
        <w:t>rray</w:t>
      </w:r>
      <w:r w:rsidR="00A57A17" w:rsidRPr="00331ABB">
        <w:rPr>
          <w:lang w:val="it-IT"/>
        </w:rPr>
        <w:t>).</w:t>
      </w:r>
    </w:p>
    <w:p w:rsidR="00CD677D" w:rsidRPr="0075516E" w:rsidRDefault="00331ABB">
      <w:pPr>
        <w:rPr>
          <w:lang w:val="it-IT"/>
        </w:rPr>
      </w:pPr>
      <w:r w:rsidRPr="00331ABB">
        <w:rPr>
          <w:lang w:val="it-IT"/>
        </w:rPr>
        <w:t xml:space="preserve">La SPL di picco massima, misurata ad </w:t>
      </w:r>
      <w:r w:rsidR="00A57A17" w:rsidRPr="00331ABB">
        <w:rPr>
          <w:lang w:val="it-IT"/>
        </w:rPr>
        <w:t xml:space="preserve">1m </w:t>
      </w:r>
      <w:r w:rsidRPr="00331ABB">
        <w:rPr>
          <w:lang w:val="it-IT"/>
        </w:rPr>
        <w:t xml:space="preserve">in condizioni di campo libero utilizzando rumore rosa con fattore di cresta </w:t>
      </w:r>
      <w:r w:rsidR="00A57A17" w:rsidRPr="00331ABB">
        <w:rPr>
          <w:lang w:val="it-IT"/>
        </w:rPr>
        <w:t xml:space="preserve">4, </w:t>
      </w:r>
      <w:r w:rsidRPr="00331ABB">
        <w:rPr>
          <w:lang w:val="it-IT"/>
        </w:rPr>
        <w:t xml:space="preserve">sarà </w:t>
      </w:r>
      <w:r w:rsidR="00A57A17" w:rsidRPr="00331ABB">
        <w:rPr>
          <w:lang w:val="it-IT"/>
        </w:rPr>
        <w:t xml:space="preserve">137 dB. </w:t>
      </w:r>
      <w:r w:rsidRPr="0075516E">
        <w:rPr>
          <w:lang w:val="it-IT"/>
        </w:rPr>
        <w:t xml:space="preserve">La capacità </w:t>
      </w:r>
      <w:r w:rsidR="0075516E" w:rsidRPr="0075516E">
        <w:rPr>
          <w:lang w:val="it-IT"/>
        </w:rPr>
        <w:t xml:space="preserve">di Potenza RMS applicabile a lungo termine sarà di </w:t>
      </w:r>
      <w:r w:rsidR="00A57A17" w:rsidRPr="0075516E">
        <w:rPr>
          <w:lang w:val="it-IT"/>
        </w:rPr>
        <w:t xml:space="preserve">450 W </w:t>
      </w:r>
      <w:r w:rsidR="0075516E" w:rsidRPr="0075516E">
        <w:rPr>
          <w:lang w:val="it-IT"/>
        </w:rPr>
        <w:t xml:space="preserve">per una impedenza nominale di </w:t>
      </w:r>
      <w:r w:rsidR="00A57A17" w:rsidRPr="0075516E">
        <w:rPr>
          <w:lang w:val="it-IT"/>
        </w:rPr>
        <w:t>8-ohm.</w:t>
      </w:r>
    </w:p>
    <w:p w:rsidR="00CD677D" w:rsidRPr="0075516E" w:rsidRDefault="0075516E">
      <w:pPr>
        <w:rPr>
          <w:lang w:val="it-IT"/>
        </w:rPr>
      </w:pPr>
      <w:r w:rsidRPr="0075516E">
        <w:rPr>
          <w:lang w:val="it-IT"/>
        </w:rPr>
        <w:t>I</w:t>
      </w:r>
      <w:r w:rsidR="00AB627D">
        <w:rPr>
          <w:lang w:val="it-IT"/>
        </w:rPr>
        <w:t>l</w:t>
      </w:r>
      <w:r w:rsidRPr="0075516E">
        <w:rPr>
          <w:lang w:val="it-IT"/>
        </w:rPr>
        <w:t xml:space="preserve"> mobile del diffusore consisterà </w:t>
      </w:r>
      <w:r w:rsidR="00835300">
        <w:rPr>
          <w:lang w:val="it-IT"/>
        </w:rPr>
        <w:t xml:space="preserve"> in</w:t>
      </w:r>
      <w:r w:rsidR="009611BA">
        <w:rPr>
          <w:lang w:val="it-IT"/>
        </w:rPr>
        <w:t xml:space="preserve"> </w:t>
      </w:r>
      <w:bookmarkStart w:id="2" w:name="_GoBack"/>
      <w:bookmarkEnd w:id="2"/>
      <w:r w:rsidRPr="0075516E">
        <w:rPr>
          <w:lang w:val="it-IT"/>
        </w:rPr>
        <w:t xml:space="preserve">multistrato di betulla del </w:t>
      </w:r>
      <w:r w:rsidR="00A57A17" w:rsidRPr="0075516E">
        <w:rPr>
          <w:lang w:val="it-IT"/>
        </w:rPr>
        <w:t>Baltic</w:t>
      </w:r>
      <w:r>
        <w:rPr>
          <w:lang w:val="it-IT"/>
        </w:rPr>
        <w:t>o</w:t>
      </w:r>
      <w:r w:rsidR="00A57A17" w:rsidRPr="0075516E">
        <w:rPr>
          <w:lang w:val="it-IT"/>
        </w:rPr>
        <w:t xml:space="preserve">. </w:t>
      </w:r>
      <w:r>
        <w:rPr>
          <w:lang w:val="it-IT"/>
        </w:rPr>
        <w:t xml:space="preserve">Le dimensioni del diffusore saranno </w:t>
      </w:r>
      <w:r w:rsidR="00A57A17" w:rsidRPr="0075516E">
        <w:rPr>
          <w:lang w:val="it-IT"/>
        </w:rPr>
        <w:t xml:space="preserve">365 mm (14.4 in) </w:t>
      </w:r>
      <w:r w:rsidRPr="0075516E">
        <w:rPr>
          <w:lang w:val="it-IT"/>
        </w:rPr>
        <w:t>largo nella parte frontale</w:t>
      </w:r>
      <w:r w:rsidR="00A57A17" w:rsidRPr="0075516E">
        <w:rPr>
          <w:lang w:val="it-IT"/>
        </w:rPr>
        <w:t xml:space="preserve">, 140 mm (5.5 in) </w:t>
      </w:r>
      <w:r w:rsidRPr="0075516E">
        <w:rPr>
          <w:lang w:val="it-IT"/>
        </w:rPr>
        <w:t>largo nella parte posteriore</w:t>
      </w:r>
      <w:r w:rsidR="00A57A17" w:rsidRPr="0075516E">
        <w:rPr>
          <w:lang w:val="it-IT"/>
        </w:rPr>
        <w:t xml:space="preserve">, 759 mm (29.9 in) </w:t>
      </w:r>
      <w:r w:rsidRPr="0075516E">
        <w:rPr>
          <w:lang w:val="it-IT"/>
        </w:rPr>
        <w:t xml:space="preserve">alto e </w:t>
      </w:r>
      <w:r w:rsidR="00A57A17" w:rsidRPr="0075516E">
        <w:rPr>
          <w:lang w:val="it-IT"/>
        </w:rPr>
        <w:t xml:space="preserve">444 mm (17.5-in) </w:t>
      </w:r>
      <w:r w:rsidRPr="0075516E">
        <w:rPr>
          <w:lang w:val="it-IT"/>
        </w:rPr>
        <w:t>profondo</w:t>
      </w:r>
      <w:r w:rsidR="00A57A17" w:rsidRPr="0075516E">
        <w:rPr>
          <w:lang w:val="it-IT"/>
        </w:rPr>
        <w:t xml:space="preserve">. </w:t>
      </w:r>
      <w:r>
        <w:rPr>
          <w:lang w:val="it-IT"/>
        </w:rPr>
        <w:t xml:space="preserve">Il peso del diffusore sarà </w:t>
      </w:r>
      <w:r w:rsidR="00A57A17" w:rsidRPr="0075516E">
        <w:rPr>
          <w:lang w:val="it-IT"/>
        </w:rPr>
        <w:t xml:space="preserve">36 kg (79 </w:t>
      </w:r>
      <w:proofErr w:type="spellStart"/>
      <w:r w:rsidR="00A57A17" w:rsidRPr="0075516E">
        <w:rPr>
          <w:lang w:val="it-IT"/>
        </w:rPr>
        <w:t>lb</w:t>
      </w:r>
      <w:proofErr w:type="spellEnd"/>
      <w:r w:rsidR="00A57A17" w:rsidRPr="0075516E">
        <w:rPr>
          <w:lang w:val="it-IT"/>
        </w:rPr>
        <w:t xml:space="preserve">). </w:t>
      </w:r>
      <w:r w:rsidRPr="0075516E">
        <w:rPr>
          <w:lang w:val="it-IT"/>
        </w:rPr>
        <w:t xml:space="preserve">La parte frontale del diffusore sarà protetta da una griglia di acciaio </w:t>
      </w:r>
      <w:r>
        <w:rPr>
          <w:lang w:val="it-IT"/>
        </w:rPr>
        <w:t xml:space="preserve">ricoperta da poliestere e da un tessuto </w:t>
      </w:r>
      <w:proofErr w:type="spellStart"/>
      <w:r>
        <w:rPr>
          <w:lang w:val="it-IT"/>
        </w:rPr>
        <w:t>Airnet</w:t>
      </w:r>
      <w:proofErr w:type="spellEnd"/>
      <w:r>
        <w:rPr>
          <w:lang w:val="it-IT"/>
        </w:rPr>
        <w:t xml:space="preserve"> acusticamente trasparente</w:t>
      </w:r>
      <w:r w:rsidR="00A57A17" w:rsidRPr="0075516E">
        <w:rPr>
          <w:lang w:val="it-IT"/>
        </w:rPr>
        <w:t xml:space="preserve">. </w:t>
      </w:r>
      <w:r w:rsidRPr="0075516E">
        <w:rPr>
          <w:lang w:val="it-IT"/>
        </w:rPr>
        <w:t>Il diffusore sarà dotato di hardware integrato per il montaggio e sarà utilizzato insieme ad accessori di montaggio dedicati.</w:t>
      </w:r>
      <w:r>
        <w:rPr>
          <w:lang w:val="it-IT"/>
        </w:rPr>
        <w:t xml:space="preserve">  </w:t>
      </w:r>
    </w:p>
    <w:p w:rsidR="00CD677D" w:rsidRPr="0075516E" w:rsidRDefault="0075516E">
      <w:pPr>
        <w:rPr>
          <w:lang w:val="it-IT"/>
        </w:rPr>
      </w:pPr>
      <w:r w:rsidRPr="0075516E">
        <w:rPr>
          <w:lang w:val="it-IT"/>
        </w:rPr>
        <w:t xml:space="preserve">La connessione audio sarà ottenuta tramite due connettori </w:t>
      </w:r>
      <w:proofErr w:type="spellStart"/>
      <w:r w:rsidRPr="0075516E">
        <w:rPr>
          <w:lang w:val="it-IT"/>
        </w:rPr>
        <w:t>speakON</w:t>
      </w:r>
      <w:proofErr w:type="spellEnd"/>
      <w:r w:rsidRPr="0075516E">
        <w:rPr>
          <w:lang w:val="it-IT"/>
        </w:rPr>
        <w:t xml:space="preserve"> </w:t>
      </w:r>
      <w:r>
        <w:rPr>
          <w:lang w:val="it-IT"/>
        </w:rPr>
        <w:t>4</w:t>
      </w:r>
      <w:r w:rsidR="00835300">
        <w:rPr>
          <w:lang w:val="it-IT"/>
        </w:rPr>
        <w:t>-</w:t>
      </w:r>
      <w:r>
        <w:rPr>
          <w:lang w:val="it-IT"/>
        </w:rPr>
        <w:t xml:space="preserve">poli in parallelo </w:t>
      </w:r>
      <w:r w:rsidR="00A57A17" w:rsidRPr="0075516E">
        <w:rPr>
          <w:lang w:val="it-IT"/>
        </w:rPr>
        <w:t xml:space="preserve">(input </w:t>
      </w:r>
      <w:r>
        <w:rPr>
          <w:lang w:val="it-IT"/>
        </w:rPr>
        <w:t>e</w:t>
      </w:r>
      <w:r w:rsidR="00A57A17" w:rsidRPr="0075516E">
        <w:rPr>
          <w:lang w:val="it-IT"/>
        </w:rPr>
        <w:t xml:space="preserve"> link).</w:t>
      </w:r>
    </w:p>
    <w:sectPr w:rsidR="00CD677D" w:rsidRPr="0075516E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17" w:rsidRDefault="00A57A17" w:rsidP="00131127">
      <w:pPr>
        <w:spacing w:after="0"/>
      </w:pPr>
      <w:r>
        <w:separator/>
      </w:r>
    </w:p>
  </w:endnote>
  <w:endnote w:type="continuationSeparator" w:id="0">
    <w:p w:rsidR="00A57A17" w:rsidRDefault="00A57A1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611B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611B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17" w:rsidRDefault="00A57A17">
      <w:pPr>
        <w:spacing w:after="0"/>
      </w:pPr>
      <w:r>
        <w:separator/>
      </w:r>
    </w:p>
  </w:footnote>
  <w:footnote w:type="continuationSeparator" w:id="0">
    <w:p w:rsidR="00A57A17" w:rsidRDefault="00A57A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Pr="009611BA" w:rsidRDefault="00A57A17" w:rsidP="009A43E1">
    <w:pPr>
      <w:pStyle w:val="Intestazione"/>
      <w:rPr>
        <w:lang w:val="it-IT"/>
      </w:rPr>
    </w:pPr>
    <w:r>
      <w:fldChar w:fldCharType="begin"/>
    </w:r>
    <w:r w:rsidRPr="009611BA">
      <w:rPr>
        <w:lang w:val="it-IT"/>
      </w:rPr>
      <w:instrText xml:space="preserve"> TITLE  \* MERGEFORMAT </w:instrText>
    </w:r>
    <w:r>
      <w:fldChar w:fldCharType="separate"/>
    </w:r>
    <w:r w:rsidR="00AB627D" w:rsidRPr="009611BA">
      <w:rPr>
        <w:lang w:val="it-IT"/>
      </w:rPr>
      <w:t xml:space="preserve">ARCS WIFO </w:t>
    </w:r>
    <w:r w:rsidR="009611BA" w:rsidRPr="009611BA">
      <w:rPr>
        <w:lang w:val="it-IT"/>
      </w:rPr>
      <w:t>Specifiche per Architetti ed Ingegneri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914CE"/>
    <w:rsid w:val="000B63AE"/>
    <w:rsid w:val="00131127"/>
    <w:rsid w:val="00135190"/>
    <w:rsid w:val="001847B6"/>
    <w:rsid w:val="001B01DC"/>
    <w:rsid w:val="0022583A"/>
    <w:rsid w:val="002D7526"/>
    <w:rsid w:val="00331ABB"/>
    <w:rsid w:val="00450747"/>
    <w:rsid w:val="004F57D4"/>
    <w:rsid w:val="006203A7"/>
    <w:rsid w:val="006240F7"/>
    <w:rsid w:val="0063669F"/>
    <w:rsid w:val="007434AE"/>
    <w:rsid w:val="0075516E"/>
    <w:rsid w:val="007C0704"/>
    <w:rsid w:val="007C0C8D"/>
    <w:rsid w:val="00835300"/>
    <w:rsid w:val="00875228"/>
    <w:rsid w:val="00910CE3"/>
    <w:rsid w:val="009611BA"/>
    <w:rsid w:val="009A43E1"/>
    <w:rsid w:val="009E6066"/>
    <w:rsid w:val="00A57A17"/>
    <w:rsid w:val="00A75794"/>
    <w:rsid w:val="00AA44C1"/>
    <w:rsid w:val="00AB627D"/>
    <w:rsid w:val="00AC0F55"/>
    <w:rsid w:val="00B22792"/>
    <w:rsid w:val="00C7193F"/>
    <w:rsid w:val="00CD677D"/>
    <w:rsid w:val="00CE0B93"/>
    <w:rsid w:val="00CF11D4"/>
    <w:rsid w:val="00E5370F"/>
    <w:rsid w:val="00EB0F5E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E3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CE3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10CE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10CE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10CE3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10CE3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10CE3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10CE3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10CE3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10CE3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0CE3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10CE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10CE3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10CE3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10CE3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10CE3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10CE3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10CE3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10CE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CE3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10CE3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10CE3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10CE3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10CE3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10CE3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10CE3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10C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10CE3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10CE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10CE3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10CE3"/>
  </w:style>
  <w:style w:type="paragraph" w:styleId="Sommario1">
    <w:name w:val="toc 1"/>
    <w:basedOn w:val="Normale"/>
    <w:next w:val="Normale"/>
    <w:autoRedefine/>
    <w:uiPriority w:val="39"/>
    <w:unhideWhenUsed/>
    <w:qFormat/>
    <w:rsid w:val="00910CE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0CE3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0CE3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0CE3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0CE3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0CE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0CE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0CE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0CE3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10CE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0CE3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10CE3"/>
    <w:rPr>
      <w:i/>
      <w:iCs/>
    </w:rPr>
  </w:style>
  <w:style w:type="character" w:styleId="Enfasiintensa">
    <w:name w:val="Intense Emphasis"/>
    <w:uiPriority w:val="21"/>
    <w:rsid w:val="00910CE3"/>
    <w:rPr>
      <w:b/>
      <w:bCs/>
      <w:i/>
      <w:iCs/>
      <w:color w:val="4F81BD"/>
    </w:rPr>
  </w:style>
  <w:style w:type="character" w:styleId="Enfasigrassetto">
    <w:name w:val="Strong"/>
    <w:uiPriority w:val="22"/>
    <w:rsid w:val="00910CE3"/>
    <w:rPr>
      <w:b/>
      <w:bCs/>
    </w:rPr>
  </w:style>
  <w:style w:type="character" w:styleId="Rimandonotaapidipagina">
    <w:name w:val="footnote reference"/>
    <w:uiPriority w:val="99"/>
    <w:unhideWhenUsed/>
    <w:rsid w:val="00910CE3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10CE3"/>
  </w:style>
  <w:style w:type="character" w:styleId="CodiceHTML">
    <w:name w:val="HTML Code"/>
    <w:uiPriority w:val="99"/>
    <w:unhideWhenUsed/>
    <w:rsid w:val="00910CE3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10CE3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10CE3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10CE3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10CE3"/>
    <w:rPr>
      <w:i/>
      <w:iCs/>
    </w:rPr>
  </w:style>
  <w:style w:type="character" w:styleId="Collegamentoipertestuale">
    <w:name w:val="Hyperlink"/>
    <w:uiPriority w:val="99"/>
    <w:unhideWhenUsed/>
    <w:qFormat/>
    <w:rsid w:val="00910CE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CE3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CE3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10CE3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CE3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10CE3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CE3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10CE3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10CE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10CE3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10CE3"/>
    <w:rPr>
      <w:b/>
      <w:bCs/>
      <w:i/>
      <w:iCs/>
      <w:spacing w:val="5"/>
    </w:rPr>
  </w:style>
  <w:style w:type="paragraph" w:styleId="Nessunaspaziatura">
    <w:name w:val="No Spacing"/>
    <w:uiPriority w:val="1"/>
    <w:rsid w:val="00910CE3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E3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CE3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10CE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10CE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10CE3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10CE3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10CE3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10CE3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10CE3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10CE3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0CE3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10CE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10CE3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10CE3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10CE3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10CE3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10CE3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10CE3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10CE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CE3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10CE3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10CE3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10CE3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10CE3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10CE3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10CE3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10C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10CE3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10CE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10CE3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10CE3"/>
  </w:style>
  <w:style w:type="paragraph" w:styleId="Sommario1">
    <w:name w:val="toc 1"/>
    <w:basedOn w:val="Normale"/>
    <w:next w:val="Normale"/>
    <w:autoRedefine/>
    <w:uiPriority w:val="39"/>
    <w:unhideWhenUsed/>
    <w:qFormat/>
    <w:rsid w:val="00910CE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0CE3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0CE3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0CE3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0CE3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0CE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0CE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0CE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0CE3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10CE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0CE3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10CE3"/>
    <w:rPr>
      <w:i/>
      <w:iCs/>
    </w:rPr>
  </w:style>
  <w:style w:type="character" w:styleId="Enfasiintensa">
    <w:name w:val="Intense Emphasis"/>
    <w:uiPriority w:val="21"/>
    <w:rsid w:val="00910CE3"/>
    <w:rPr>
      <w:b/>
      <w:bCs/>
      <w:i/>
      <w:iCs/>
      <w:color w:val="4F81BD"/>
    </w:rPr>
  </w:style>
  <w:style w:type="character" w:styleId="Enfasigrassetto">
    <w:name w:val="Strong"/>
    <w:uiPriority w:val="22"/>
    <w:rsid w:val="00910CE3"/>
    <w:rPr>
      <w:b/>
      <w:bCs/>
    </w:rPr>
  </w:style>
  <w:style w:type="character" w:styleId="Rimandonotaapidipagina">
    <w:name w:val="footnote reference"/>
    <w:uiPriority w:val="99"/>
    <w:unhideWhenUsed/>
    <w:rsid w:val="00910CE3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10CE3"/>
  </w:style>
  <w:style w:type="character" w:styleId="CodiceHTML">
    <w:name w:val="HTML Code"/>
    <w:uiPriority w:val="99"/>
    <w:unhideWhenUsed/>
    <w:rsid w:val="00910CE3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10CE3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10CE3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10CE3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10CE3"/>
    <w:rPr>
      <w:i/>
      <w:iCs/>
    </w:rPr>
  </w:style>
  <w:style w:type="character" w:styleId="Collegamentoipertestuale">
    <w:name w:val="Hyperlink"/>
    <w:uiPriority w:val="99"/>
    <w:unhideWhenUsed/>
    <w:qFormat/>
    <w:rsid w:val="00910CE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CE3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CE3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10CE3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CE3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10CE3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CE3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10CE3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10CE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10CE3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10CE3"/>
    <w:rPr>
      <w:b/>
      <w:bCs/>
      <w:i/>
      <w:iCs/>
      <w:spacing w:val="5"/>
    </w:rPr>
  </w:style>
  <w:style w:type="paragraph" w:styleId="Nessunaspaziatura">
    <w:name w:val="No Spacing"/>
    <w:uiPriority w:val="1"/>
    <w:rsid w:val="00910CE3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ARCS WIFO</Nom_x0020_commercial>
    <f7aa34fcdf1542dd854ec70f0844be82 xmlns="fec9d4cd-7350-450a-8089-08ad1005c24a">
      <Terms xmlns="http://schemas.microsoft.com/office/infopath/2007/PartnerControls"/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SYS_ARCS_WIFO</TermName>
          <TermId xmlns="http://schemas.microsoft.com/office/infopath/2007/PartnerControls">7824362f-579d-4943-a671-7de690f8bb0d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106</Value>
      <Value>168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69734DB04BD0964D8BDFCFAD4C2A180B" ma:contentTypeVersion="7" ma:contentTypeDescription="L-Acoustics Project Management" ma:contentTypeScope="" ma:versionID="06103860103f80ce7585d62225b60b48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3FE46-46B5-4703-9B87-A710A79E3660}">
  <ds:schemaRefs>
    <ds:schemaRef ds:uri="http://www.w3.org/XML/1998/namespace"/>
    <ds:schemaRef ds:uri="http://schemas.openxmlformats.org/package/2006/metadata/core-properties"/>
    <ds:schemaRef ds:uri="fec9d4cd-7350-450a-8089-08ad1005c24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2760C4-ECFE-4E79-AB45-68CCC9E3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5B3E1-0262-4651-ADDE-261A8AA18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ARCS WIFO Architect and Engineer Specifications</vt:lpstr>
      <vt:lpstr>ARCS WIFO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2083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ARCS WIFO Architect and Engineer Specifications</dc:title>
  <dc:creator>Noelle DUVEZIN</dc:creator>
  <cp:lastModifiedBy>Andrea Guerranti</cp:lastModifiedBy>
  <cp:revision>6</cp:revision>
  <cp:lastPrinted>2017-10-31T14:14:00Z</cp:lastPrinted>
  <dcterms:created xsi:type="dcterms:W3CDTF">2017-10-31T13:44:00Z</dcterms:created>
  <dcterms:modified xsi:type="dcterms:W3CDTF">2017-11-03T14:14:00Z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/>
  </property>
  <property fmtid="{D5CDD505-2E9C-101B-9397-08002B2CF9AE}" pid="4" name="ContentTypeId">
    <vt:lpwstr>0x010100F2B4B4A52E0B024BBA6B01C2AA97115F0069734DB04BD0964D8BDFCFAD4C2A180B</vt:lpwstr>
  </property>
  <property fmtid="{D5CDD505-2E9C-101B-9397-08002B2CF9AE}" pid="5" name="Syst_x00e8_me">
    <vt:lpwstr>168;#SYS_ARCS_WIFO|7824362f-579d-4943-a671-7de690f8bb0d</vt:lpwstr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>168</vt:lpwstr>
  </property>
</Properties>
</file>